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E47B32" w:rsidRPr="00E47B32" w:rsidRDefault="00E47B32" w:rsidP="00E47B3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7A7A23">
        <w:rPr>
          <w:rFonts w:ascii="Times New Roman" w:hAnsi="Times New Roman" w:cs="Times New Roman"/>
          <w:b w:val="0"/>
          <w:sz w:val="28"/>
          <w:szCs w:val="28"/>
        </w:rPr>
        <w:t>б утверждении П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>равил предоставления в 20</w:t>
      </w:r>
      <w:r w:rsidR="00BE606A">
        <w:rPr>
          <w:rFonts w:ascii="Times New Roman" w:hAnsi="Times New Roman" w:cs="Times New Roman"/>
          <w:b w:val="0"/>
          <w:sz w:val="28"/>
          <w:szCs w:val="28"/>
        </w:rPr>
        <w:t xml:space="preserve">20 – </w:t>
      </w:r>
      <w:r>
        <w:rPr>
          <w:rFonts w:ascii="Times New Roman" w:hAnsi="Times New Roman" w:cs="Times New Roman"/>
          <w:b w:val="0"/>
          <w:sz w:val="28"/>
          <w:szCs w:val="28"/>
        </w:rPr>
        <w:t>2021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ах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 иных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>межбюджетных трансфертов из федерального и областного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бюджетов бюджетам муниципальных </w:t>
      </w:r>
      <w:r w:rsidR="0004481A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11A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 на улучшение жилищных условий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r w:rsidR="001411A5">
        <w:rPr>
          <w:rFonts w:ascii="Times New Roman" w:hAnsi="Times New Roman" w:cs="Times New Roman"/>
          <w:b w:val="0"/>
          <w:sz w:val="28"/>
          <w:szCs w:val="28"/>
        </w:rPr>
        <w:t xml:space="preserve"> учреждений культуры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организаций</w:t>
      </w:r>
    </w:p>
    <w:p w:rsidR="00E90322" w:rsidRPr="00E47B32" w:rsidRDefault="00E90322" w:rsidP="00E90322">
      <w:pPr>
        <w:widowControl w:val="0"/>
        <w:jc w:val="both"/>
        <w:rPr>
          <w:noProof/>
          <w:color w:val="000000"/>
          <w:sz w:val="24"/>
          <w:szCs w:val="28"/>
          <w:shd w:val="clear" w:color="auto" w:fill="FFFFFF"/>
        </w:rPr>
      </w:pPr>
    </w:p>
    <w:p w:rsidR="00E90322" w:rsidRPr="00E90322" w:rsidRDefault="00E90322" w:rsidP="00E90322">
      <w:pPr>
        <w:widowControl w:val="0"/>
        <w:jc w:val="both"/>
        <w:rPr>
          <w:noProof/>
          <w:color w:val="000000"/>
          <w:szCs w:val="28"/>
          <w:shd w:val="clear" w:color="auto" w:fill="FFFFFF"/>
        </w:rPr>
      </w:pPr>
    </w:p>
    <w:p w:rsidR="001411A5" w:rsidRDefault="001411A5" w:rsidP="001411A5">
      <w:pPr>
        <w:widowControl w:val="0"/>
        <w:ind w:firstLine="709"/>
        <w:jc w:val="both"/>
        <w:outlineLvl w:val="0"/>
      </w:pPr>
      <w:r>
        <w:t xml:space="preserve">В соответствии со </w:t>
      </w:r>
      <w:r w:rsidRPr="001411A5">
        <w:rPr>
          <w:color w:val="000000" w:themeColor="text1"/>
        </w:rPr>
        <w:t>статьей 139.1</w:t>
      </w:r>
      <w:r>
        <w:t xml:space="preserve"> Бюджетного кодекса Российской Федерации и </w:t>
      </w:r>
      <w:r w:rsidRPr="001411A5">
        <w:rPr>
          <w:color w:val="000000" w:themeColor="text1"/>
        </w:rPr>
        <w:t>распоряжением</w:t>
      </w:r>
      <w:r>
        <w:t xml:space="preserve"> правительства Еврейской автономной области от </w:t>
      </w:r>
      <w:r w:rsidRPr="0004481A">
        <w:t xml:space="preserve">22.06.2018 </w:t>
      </w:r>
      <w:r w:rsidR="00CA6729">
        <w:t>№</w:t>
      </w:r>
      <w:r w:rsidR="004F260F">
        <w:t xml:space="preserve"> 209-рп «</w:t>
      </w:r>
      <w:r w:rsidRPr="0004481A">
        <w:t>Об утверждении Плана социального развития центров экономического рос</w:t>
      </w:r>
      <w:r w:rsidR="004F260F">
        <w:t>та Еврейской автономной области»</w:t>
      </w:r>
      <w:bookmarkStart w:id="0" w:name="_GoBack"/>
      <w:bookmarkEnd w:id="0"/>
      <w:r w:rsidRPr="0004481A">
        <w:t xml:space="preserve"> правительство Еврейской автономной области</w:t>
      </w:r>
    </w:p>
    <w:p w:rsidR="00E90322" w:rsidRPr="00E90322" w:rsidRDefault="00E90322" w:rsidP="00E90322">
      <w:pPr>
        <w:widowControl w:val="0"/>
        <w:jc w:val="both"/>
        <w:outlineLvl w:val="0"/>
        <w:rPr>
          <w:color w:val="000000"/>
          <w:szCs w:val="28"/>
          <w:shd w:val="clear" w:color="auto" w:fill="FFFFFF"/>
        </w:rPr>
      </w:pPr>
      <w:r w:rsidRPr="00E90322">
        <w:rPr>
          <w:noProof/>
          <w:color w:val="000000"/>
          <w:szCs w:val="28"/>
          <w:shd w:val="clear" w:color="auto" w:fill="FFFFFF"/>
        </w:rPr>
        <w:t>ПОСТАНОВЛЯЕТ:</w:t>
      </w:r>
    </w:p>
    <w:p w:rsidR="001411A5" w:rsidRPr="00931FA7" w:rsidRDefault="001411A5" w:rsidP="000448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1FA7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прилагаемые </w:t>
      </w:r>
      <w:r w:rsidRPr="00931F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Правила</w:t>
      </w:r>
      <w:r w:rsidRPr="00931FA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в </w:t>
      </w:r>
      <w:r w:rsidR="00BE606A" w:rsidRPr="00E47B32">
        <w:rPr>
          <w:rFonts w:ascii="Times New Roman" w:hAnsi="Times New Roman" w:cs="Times New Roman"/>
          <w:b w:val="0"/>
          <w:sz w:val="28"/>
          <w:szCs w:val="28"/>
        </w:rPr>
        <w:t>20</w:t>
      </w:r>
      <w:r w:rsidR="00BE606A">
        <w:rPr>
          <w:rFonts w:ascii="Times New Roman" w:hAnsi="Times New Roman" w:cs="Times New Roman"/>
          <w:b w:val="0"/>
          <w:sz w:val="28"/>
          <w:szCs w:val="28"/>
        </w:rPr>
        <w:t>20 – 2021 годах</w:t>
      </w:r>
      <w:r w:rsidRPr="00931FA7">
        <w:rPr>
          <w:rFonts w:ascii="Times New Roman" w:hAnsi="Times New Roman" w:cs="Times New Roman"/>
          <w:b w:val="0"/>
          <w:sz w:val="28"/>
          <w:szCs w:val="28"/>
        </w:rPr>
        <w:t xml:space="preserve"> иных межбюджетных трансфертов из федерального и областного бюджетов бюджетам муниципальных </w:t>
      </w:r>
      <w:r w:rsidR="0004481A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Pr="00931FA7">
        <w:rPr>
          <w:rFonts w:ascii="Times New Roman" w:hAnsi="Times New Roman" w:cs="Times New Roman"/>
          <w:b w:val="0"/>
          <w:sz w:val="28"/>
          <w:szCs w:val="28"/>
        </w:rPr>
        <w:t xml:space="preserve"> Еврейской автономной области на улучшение жилищных условий </w:t>
      </w:r>
      <w:r w:rsidR="00931FA7" w:rsidRPr="00931FA7">
        <w:rPr>
          <w:rFonts w:ascii="Times New Roman" w:hAnsi="Times New Roman" w:cs="Times New Roman"/>
          <w:b w:val="0"/>
          <w:sz w:val="28"/>
          <w:szCs w:val="28"/>
        </w:rPr>
        <w:t>работников учреждений культуры муниципальных организаций</w:t>
      </w:r>
      <w:r w:rsidR="00931FA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11A5" w:rsidRDefault="001411A5" w:rsidP="0004481A">
      <w:pPr>
        <w:pStyle w:val="ConsPlusNormal"/>
        <w:ind w:firstLine="709"/>
        <w:jc w:val="both"/>
      </w:pPr>
      <w:r>
        <w:t xml:space="preserve">2. Настоящее </w:t>
      </w:r>
      <w:r w:rsidR="00CA6729">
        <w:t>постановление</w:t>
      </w:r>
      <w:r>
        <w:t xml:space="preserve"> вступает в силу со дня его подписания.</w:t>
      </w:r>
    </w:p>
    <w:p w:rsidR="00E90322" w:rsidRPr="00E90322" w:rsidRDefault="00E90322" w:rsidP="00E90322">
      <w:pPr>
        <w:jc w:val="both"/>
        <w:rPr>
          <w:color w:val="000000"/>
          <w:szCs w:val="28"/>
        </w:rPr>
      </w:pPr>
    </w:p>
    <w:p w:rsidR="00E90322" w:rsidRPr="00E90322" w:rsidRDefault="00E90322" w:rsidP="00E90322">
      <w:pPr>
        <w:jc w:val="both"/>
        <w:rPr>
          <w:color w:val="000000"/>
          <w:szCs w:val="28"/>
        </w:rPr>
      </w:pPr>
    </w:p>
    <w:p w:rsidR="00E90322" w:rsidRPr="00E90322" w:rsidRDefault="00E90322" w:rsidP="00E90322">
      <w:pPr>
        <w:jc w:val="both"/>
        <w:rPr>
          <w:color w:val="000000"/>
          <w:szCs w:val="28"/>
        </w:rPr>
      </w:pPr>
    </w:p>
    <w:p w:rsidR="00665DC0" w:rsidRDefault="00665DC0" w:rsidP="00E903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Временно исполняющий обязанности</w:t>
      </w:r>
    </w:p>
    <w:p w:rsidR="00E90322" w:rsidRDefault="00665DC0" w:rsidP="00E90322">
      <w:pPr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г</w:t>
      </w:r>
      <w:r w:rsidR="00E90322" w:rsidRPr="00E90322">
        <w:rPr>
          <w:color w:val="000000"/>
          <w:szCs w:val="28"/>
        </w:rPr>
        <w:t>убернатор</w:t>
      </w:r>
      <w:r>
        <w:rPr>
          <w:color w:val="000000"/>
          <w:szCs w:val="28"/>
        </w:rPr>
        <w:t>а</w:t>
      </w:r>
      <w:proofErr w:type="gramEnd"/>
      <w:r w:rsidR="00E90322" w:rsidRPr="00E90322">
        <w:rPr>
          <w:color w:val="000000"/>
          <w:szCs w:val="28"/>
        </w:rPr>
        <w:t xml:space="preserve"> области                                              </w:t>
      </w:r>
      <w:r w:rsidR="00E92A72">
        <w:rPr>
          <w:color w:val="000000"/>
          <w:szCs w:val="28"/>
        </w:rPr>
        <w:t xml:space="preserve">                       Р.Э. Го</w:t>
      </w:r>
      <w:r>
        <w:rPr>
          <w:color w:val="000000"/>
          <w:szCs w:val="28"/>
        </w:rPr>
        <w:t>льдштейн</w:t>
      </w:r>
    </w:p>
    <w:p w:rsidR="00BE606A" w:rsidRPr="00E90322" w:rsidRDefault="00BE606A" w:rsidP="00E90322">
      <w:pPr>
        <w:jc w:val="both"/>
        <w:rPr>
          <w:color w:val="000000"/>
          <w:szCs w:val="28"/>
        </w:rPr>
      </w:pPr>
    </w:p>
    <w:p w:rsidR="00E90322" w:rsidRPr="00E90322" w:rsidRDefault="00E90322" w:rsidP="00E90322">
      <w:pPr>
        <w:spacing w:line="256" w:lineRule="auto"/>
        <w:rPr>
          <w:color w:val="000000"/>
          <w:sz w:val="24"/>
        </w:rPr>
        <w:sectPr w:rsidR="00E90322" w:rsidRPr="00E9032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38"/>
        <w:gridCol w:w="4617"/>
      </w:tblGrid>
      <w:tr w:rsidR="00E90322" w:rsidRPr="00E90322" w:rsidTr="00FD6DC1">
        <w:trPr>
          <w:jc w:val="right"/>
        </w:trPr>
        <w:tc>
          <w:tcPr>
            <w:tcW w:w="4928" w:type="dxa"/>
          </w:tcPr>
          <w:p w:rsidR="00E90322" w:rsidRPr="00E90322" w:rsidRDefault="00E90322" w:rsidP="00E90322">
            <w:pPr>
              <w:tabs>
                <w:tab w:val="left" w:pos="3733"/>
              </w:tabs>
              <w:rPr>
                <w:color w:val="000000"/>
                <w:szCs w:val="28"/>
              </w:rPr>
            </w:pPr>
          </w:p>
        </w:tc>
        <w:tc>
          <w:tcPr>
            <w:tcW w:w="4642" w:type="dxa"/>
          </w:tcPr>
          <w:p w:rsidR="00E90322" w:rsidRPr="00E90322" w:rsidRDefault="00E90322" w:rsidP="00E90322">
            <w:pPr>
              <w:tabs>
                <w:tab w:val="left" w:pos="667"/>
                <w:tab w:val="left" w:pos="3733"/>
              </w:tabs>
              <w:jc w:val="right"/>
              <w:rPr>
                <w:color w:val="000000"/>
                <w:szCs w:val="28"/>
              </w:rPr>
            </w:pPr>
            <w:r w:rsidRPr="00E90322">
              <w:rPr>
                <w:color w:val="000000"/>
                <w:szCs w:val="28"/>
              </w:rPr>
              <w:t xml:space="preserve">      УТВЕРЖДЕНЫ</w:t>
            </w:r>
            <w:r w:rsidRPr="00E90322">
              <w:rPr>
                <w:color w:val="000000"/>
                <w:szCs w:val="28"/>
              </w:rPr>
              <w:tab/>
            </w:r>
            <w:r w:rsidRPr="00E90322">
              <w:rPr>
                <w:color w:val="000000"/>
                <w:szCs w:val="28"/>
              </w:rPr>
              <w:tab/>
            </w:r>
          </w:p>
          <w:p w:rsidR="00E90322" w:rsidRPr="00E90322" w:rsidRDefault="00E90322" w:rsidP="00E90322">
            <w:pPr>
              <w:tabs>
                <w:tab w:val="left" w:pos="3733"/>
              </w:tabs>
              <w:jc w:val="right"/>
              <w:rPr>
                <w:color w:val="000000"/>
                <w:sz w:val="24"/>
              </w:rPr>
            </w:pPr>
          </w:p>
          <w:p w:rsidR="00E90322" w:rsidRPr="00E90322" w:rsidRDefault="000C30EB" w:rsidP="000C30EB">
            <w:pPr>
              <w:tabs>
                <w:tab w:val="left" w:pos="683"/>
                <w:tab w:val="left" w:pos="3733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</w:t>
            </w:r>
            <w:r w:rsidR="00CA6729">
              <w:rPr>
                <w:color w:val="000000"/>
                <w:szCs w:val="28"/>
              </w:rPr>
              <w:t xml:space="preserve"> </w:t>
            </w:r>
            <w:proofErr w:type="gramStart"/>
            <w:r w:rsidR="00CA6729">
              <w:rPr>
                <w:color w:val="000000"/>
                <w:szCs w:val="28"/>
              </w:rPr>
              <w:t>постановлением</w:t>
            </w:r>
            <w:proofErr w:type="gramEnd"/>
            <w:r w:rsidR="00E90322" w:rsidRPr="00E90322">
              <w:rPr>
                <w:color w:val="000000"/>
                <w:szCs w:val="28"/>
              </w:rPr>
              <w:t xml:space="preserve"> правительства</w:t>
            </w:r>
          </w:p>
          <w:p w:rsidR="00E90322" w:rsidRPr="0004481A" w:rsidRDefault="00E90322" w:rsidP="000C30EB">
            <w:pPr>
              <w:tabs>
                <w:tab w:val="left" w:pos="541"/>
                <w:tab w:val="left" w:pos="5624"/>
              </w:tabs>
              <w:jc w:val="right"/>
              <w:rPr>
                <w:color w:val="000000"/>
                <w:szCs w:val="28"/>
              </w:rPr>
            </w:pPr>
            <w:r w:rsidRPr="00E90322">
              <w:rPr>
                <w:color w:val="000000"/>
                <w:szCs w:val="28"/>
              </w:rPr>
              <w:t>Еврейской автономной области</w:t>
            </w:r>
            <w:r w:rsidR="0004481A">
              <w:rPr>
                <w:color w:val="000000"/>
                <w:sz w:val="24"/>
              </w:rPr>
              <w:t xml:space="preserve">         о</w:t>
            </w:r>
            <w:r w:rsidRPr="00E90322">
              <w:rPr>
                <w:color w:val="000000"/>
                <w:sz w:val="24"/>
              </w:rPr>
              <w:t>т__________________№_________</w:t>
            </w:r>
            <w:r w:rsidR="0004481A">
              <w:rPr>
                <w:color w:val="000000"/>
                <w:sz w:val="24"/>
              </w:rPr>
              <w:t>_</w:t>
            </w:r>
          </w:p>
        </w:tc>
      </w:tr>
    </w:tbl>
    <w:p w:rsidR="00E90322" w:rsidRPr="00E90322" w:rsidRDefault="00E90322" w:rsidP="00E90322">
      <w:pPr>
        <w:rPr>
          <w:color w:val="000000"/>
          <w:szCs w:val="28"/>
        </w:rPr>
      </w:pPr>
    </w:p>
    <w:p w:rsidR="00E90322" w:rsidRPr="00E90322" w:rsidRDefault="00E90322" w:rsidP="00E90322">
      <w:pPr>
        <w:rPr>
          <w:color w:val="000000"/>
          <w:szCs w:val="28"/>
        </w:rPr>
      </w:pPr>
    </w:p>
    <w:p w:rsidR="00931FA7" w:rsidRPr="00931FA7" w:rsidRDefault="00931FA7" w:rsidP="009A563E">
      <w:pPr>
        <w:pStyle w:val="ConsPlusTitle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31FA7">
        <w:rPr>
          <w:rFonts w:ascii="Times New Roman" w:hAnsi="Times New Roman" w:cs="Times New Roman"/>
          <w:b w:val="0"/>
          <w:sz w:val="28"/>
          <w:szCs w:val="28"/>
        </w:rPr>
        <w:t>равила</w:t>
      </w:r>
    </w:p>
    <w:p w:rsidR="00931FA7" w:rsidRPr="00931FA7" w:rsidRDefault="00931FA7" w:rsidP="009A5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31FA7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proofErr w:type="gramEnd"/>
      <w:r w:rsidRPr="00931FA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BE606A" w:rsidRPr="00E47B32">
        <w:rPr>
          <w:rFonts w:ascii="Times New Roman" w:hAnsi="Times New Roman" w:cs="Times New Roman"/>
          <w:b w:val="0"/>
          <w:sz w:val="28"/>
          <w:szCs w:val="28"/>
        </w:rPr>
        <w:t>20</w:t>
      </w:r>
      <w:r w:rsidR="00BE606A">
        <w:rPr>
          <w:rFonts w:ascii="Times New Roman" w:hAnsi="Times New Roman" w:cs="Times New Roman"/>
          <w:b w:val="0"/>
          <w:sz w:val="28"/>
          <w:szCs w:val="28"/>
        </w:rPr>
        <w:t>20 – 2021</w:t>
      </w:r>
      <w:r w:rsidRPr="00931FA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BE606A">
        <w:rPr>
          <w:rFonts w:ascii="Times New Roman" w:hAnsi="Times New Roman" w:cs="Times New Roman"/>
          <w:b w:val="0"/>
          <w:sz w:val="28"/>
          <w:szCs w:val="28"/>
        </w:rPr>
        <w:t>ах</w:t>
      </w:r>
      <w:r w:rsidRPr="00931FA7">
        <w:rPr>
          <w:rFonts w:ascii="Times New Roman" w:hAnsi="Times New Roman" w:cs="Times New Roman"/>
          <w:b w:val="0"/>
          <w:sz w:val="28"/>
          <w:szCs w:val="28"/>
        </w:rPr>
        <w:t xml:space="preserve"> иных межбюджетных трансфертов</w:t>
      </w:r>
      <w:r w:rsidR="009A56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1FA7">
        <w:rPr>
          <w:rFonts w:ascii="Times New Roman" w:hAnsi="Times New Roman" w:cs="Times New Roman"/>
          <w:b w:val="0"/>
          <w:sz w:val="28"/>
          <w:szCs w:val="28"/>
        </w:rPr>
        <w:t>из федерального и областного бюджетов бюджетам муниципальных</w:t>
      </w:r>
      <w:r w:rsidR="009A56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08B6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Pr="00931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0B4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31FA7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  <w:r w:rsidR="009A56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1FA7">
        <w:rPr>
          <w:rFonts w:ascii="Times New Roman" w:hAnsi="Times New Roman" w:cs="Times New Roman"/>
          <w:b w:val="0"/>
          <w:sz w:val="28"/>
          <w:szCs w:val="28"/>
        </w:rPr>
        <w:t xml:space="preserve">на улучшение </w:t>
      </w:r>
      <w:r w:rsidRPr="0004481A">
        <w:rPr>
          <w:rFonts w:ascii="Times New Roman" w:hAnsi="Times New Roman" w:cs="Times New Roman"/>
          <w:b w:val="0"/>
          <w:sz w:val="28"/>
          <w:szCs w:val="28"/>
        </w:rPr>
        <w:t xml:space="preserve">жилищных условий </w:t>
      </w:r>
      <w:r w:rsidR="000A03DD" w:rsidRPr="0004481A">
        <w:rPr>
          <w:rFonts w:ascii="Times New Roman" w:hAnsi="Times New Roman" w:cs="Times New Roman"/>
          <w:b w:val="0"/>
          <w:sz w:val="28"/>
          <w:szCs w:val="28"/>
        </w:rPr>
        <w:t xml:space="preserve">работников учреждений культуры муниципальных </w:t>
      </w:r>
      <w:r w:rsidR="0004481A" w:rsidRPr="0004481A">
        <w:rPr>
          <w:rFonts w:ascii="Times New Roman" w:hAnsi="Times New Roman" w:cs="Times New Roman"/>
          <w:b w:val="0"/>
          <w:sz w:val="28"/>
          <w:szCs w:val="28"/>
        </w:rPr>
        <w:t>организаций</w:t>
      </w:r>
    </w:p>
    <w:p w:rsidR="00BE606A" w:rsidRDefault="00BE606A" w:rsidP="00931FA7">
      <w:pPr>
        <w:pStyle w:val="ConsPlusNormal"/>
        <w:jc w:val="both"/>
      </w:pPr>
    </w:p>
    <w:p w:rsidR="00931FA7" w:rsidRDefault="00931FA7" w:rsidP="00332BD2">
      <w:pPr>
        <w:pStyle w:val="ConsPlusNormal"/>
        <w:ind w:firstLine="709"/>
        <w:jc w:val="both"/>
      </w:pPr>
      <w:r>
        <w:t xml:space="preserve">1. Настоящие Правила предоставления в </w:t>
      </w:r>
      <w:r w:rsidR="00BE606A" w:rsidRPr="00BE606A">
        <w:t>2020 – 2021 годах</w:t>
      </w:r>
      <w:r>
        <w:t xml:space="preserve"> иных межбюджетных трансфертов из федерального и областного бюджетов бюджетам муниципальных районов Еврейской автономной области на улучшение жилищных условий </w:t>
      </w:r>
      <w:r w:rsidR="0004481A" w:rsidRPr="0004481A">
        <w:t>жилищных условий работников учреждений культуры муниципальных организаций</w:t>
      </w:r>
      <w:r w:rsidRPr="0004481A">
        <w:t xml:space="preserve"> </w:t>
      </w:r>
      <w:r>
        <w:t xml:space="preserve">(далее - Правила) устанавливают порядок и условия предоставления в </w:t>
      </w:r>
      <w:r w:rsidR="00BE606A" w:rsidRPr="00BE606A">
        <w:t>2020 – 2021 годах</w:t>
      </w:r>
      <w:r>
        <w:t xml:space="preserve"> иных межбюджетных трансфертов из федерального и областного бюджетов бюджетам муниципальных </w:t>
      </w:r>
      <w:r w:rsidR="0004481A">
        <w:t>организаций</w:t>
      </w:r>
      <w:r>
        <w:t xml:space="preserve"> </w:t>
      </w:r>
      <w:r w:rsidRPr="0004481A">
        <w:t xml:space="preserve">Еврейской автономной области (далее - муниципальные образования области) на улучшение жилищных условий </w:t>
      </w:r>
      <w:r w:rsidR="0004481A" w:rsidRPr="0004481A">
        <w:t xml:space="preserve">жилищных условий работников учреждений культуры муниципальных организаций </w:t>
      </w:r>
      <w:r w:rsidRPr="0004481A">
        <w:t>(далее - трансферт).</w:t>
      </w:r>
    </w:p>
    <w:p w:rsidR="00931FA7" w:rsidRDefault="00931FA7" w:rsidP="00332BD2">
      <w:pPr>
        <w:pStyle w:val="ConsPlusNormal"/>
        <w:ind w:firstLine="709"/>
        <w:jc w:val="both"/>
      </w:pPr>
      <w:r>
        <w:t>2</w:t>
      </w:r>
      <w:r w:rsidRPr="0004481A">
        <w:t>. Трансферт предоставляется муниципальным образованиям области в целях финансового обеспечения</w:t>
      </w:r>
      <w:r>
        <w:t xml:space="preserve"> мероприятий по улучшению жилищных условий </w:t>
      </w:r>
      <w:r w:rsidR="0004481A" w:rsidRPr="0004481A">
        <w:t>работников учреждений культуры муниципальных организаций</w:t>
      </w:r>
      <w:r>
        <w:t xml:space="preserve"> путем приобретения благоустроенных жилых помещений специализированного муниципального жилищного фонда.</w:t>
      </w:r>
    </w:p>
    <w:p w:rsidR="00931FA7" w:rsidRDefault="00931FA7" w:rsidP="00332BD2">
      <w:pPr>
        <w:pStyle w:val="ConsPlusNormal"/>
        <w:ind w:firstLine="709"/>
        <w:jc w:val="both"/>
      </w:pPr>
      <w:r>
        <w:t>3. Размер трансферта i-</w:t>
      </w:r>
      <w:proofErr w:type="spellStart"/>
      <w:r>
        <w:t>му</w:t>
      </w:r>
      <w:proofErr w:type="spellEnd"/>
      <w:r>
        <w:t xml:space="preserve"> муниципальному образованию области рассчитывается по формуле:</w:t>
      </w:r>
    </w:p>
    <w:p w:rsidR="00931FA7" w:rsidRDefault="00931FA7" w:rsidP="00332BD2">
      <w:pPr>
        <w:pStyle w:val="ConsPlusNormal"/>
        <w:ind w:firstLine="709"/>
        <w:jc w:val="both"/>
      </w:pPr>
      <w:proofErr w:type="spellStart"/>
      <w:r>
        <w:t>Si</w:t>
      </w:r>
      <w:proofErr w:type="spellEnd"/>
      <w:r>
        <w:t xml:space="preserve"> = </w:t>
      </w:r>
      <w:proofErr w:type="spellStart"/>
      <w:r>
        <w:t>SUM</w:t>
      </w:r>
      <w:r>
        <w:rPr>
          <w:vertAlign w:val="subscript"/>
        </w:rPr>
        <w:t>j</w:t>
      </w:r>
      <w:proofErr w:type="spellEnd"/>
      <w:r>
        <w:rPr>
          <w:vertAlign w:val="subscript"/>
        </w:rPr>
        <w:t>=</w:t>
      </w:r>
      <w:proofErr w:type="gramStart"/>
      <w:r>
        <w:rPr>
          <w:vertAlign w:val="subscript"/>
        </w:rPr>
        <w:t>1,k</w:t>
      </w:r>
      <w:proofErr w:type="gramEnd"/>
      <w:r>
        <w:t xml:space="preserve"> [</w:t>
      </w:r>
      <w:proofErr w:type="spellStart"/>
      <w:r>
        <w:t>НП</w:t>
      </w:r>
      <w:r>
        <w:rPr>
          <w:vertAlign w:val="subscript"/>
        </w:rPr>
        <w:t>j</w:t>
      </w:r>
      <w:proofErr w:type="spellEnd"/>
      <w:r>
        <w:t xml:space="preserve"> x </w:t>
      </w:r>
      <w:proofErr w:type="spellStart"/>
      <w:r>
        <w:t>С</w:t>
      </w:r>
      <w:r>
        <w:rPr>
          <w:vertAlign w:val="subscript"/>
        </w:rPr>
        <w:t>тм</w:t>
      </w:r>
      <w:proofErr w:type="spellEnd"/>
      <w:r>
        <w:t xml:space="preserve"> x К + </w:t>
      </w:r>
      <w:proofErr w:type="spellStart"/>
      <w:r>
        <w:t>НП</w:t>
      </w:r>
      <w:r>
        <w:rPr>
          <w:vertAlign w:val="subscript"/>
        </w:rPr>
        <w:t>j</w:t>
      </w:r>
      <w:proofErr w:type="spellEnd"/>
      <w:r>
        <w:t xml:space="preserve"> x </w:t>
      </w:r>
      <w:proofErr w:type="spellStart"/>
      <w:r>
        <w:t>С</w:t>
      </w:r>
      <w:r>
        <w:rPr>
          <w:vertAlign w:val="subscript"/>
        </w:rPr>
        <w:t>тм</w:t>
      </w:r>
      <w:proofErr w:type="spellEnd"/>
      <w:r>
        <w:t xml:space="preserve"> x N],</w:t>
      </w:r>
    </w:p>
    <w:p w:rsidR="00931FA7" w:rsidRDefault="00931FA7" w:rsidP="00332BD2">
      <w:pPr>
        <w:pStyle w:val="ConsPlusNormal"/>
        <w:ind w:firstLine="709"/>
        <w:jc w:val="both"/>
      </w:pPr>
      <w:proofErr w:type="gramStart"/>
      <w:r>
        <w:t>где</w:t>
      </w:r>
      <w:proofErr w:type="gramEnd"/>
      <w:r>
        <w:t>:</w:t>
      </w:r>
    </w:p>
    <w:p w:rsidR="00931FA7" w:rsidRDefault="00931FA7" w:rsidP="00332BD2">
      <w:pPr>
        <w:pStyle w:val="ConsPlusNormal"/>
        <w:ind w:firstLine="709"/>
        <w:jc w:val="both"/>
      </w:pPr>
      <w:proofErr w:type="spellStart"/>
      <w:r>
        <w:t>Si</w:t>
      </w:r>
      <w:proofErr w:type="spellEnd"/>
      <w:r>
        <w:t xml:space="preserve"> - размер трансферта i-</w:t>
      </w:r>
      <w:proofErr w:type="spellStart"/>
      <w:r>
        <w:t>му</w:t>
      </w:r>
      <w:proofErr w:type="spellEnd"/>
      <w:r>
        <w:t xml:space="preserve"> муниципальному образованию области;</w:t>
      </w:r>
    </w:p>
    <w:p w:rsidR="00931FA7" w:rsidRDefault="00931FA7" w:rsidP="00332BD2">
      <w:pPr>
        <w:pStyle w:val="ConsPlusNormal"/>
        <w:ind w:firstLine="709"/>
        <w:jc w:val="both"/>
      </w:pPr>
      <w:proofErr w:type="spellStart"/>
      <w:r>
        <w:t>НП</w:t>
      </w:r>
      <w:r>
        <w:rPr>
          <w:vertAlign w:val="subscript"/>
        </w:rPr>
        <w:t>j</w:t>
      </w:r>
      <w:proofErr w:type="spellEnd"/>
      <w:r>
        <w:t xml:space="preserve"> - норма площади из расчета:</w:t>
      </w:r>
    </w:p>
    <w:p w:rsidR="00931FA7" w:rsidRDefault="00931FA7" w:rsidP="00332BD2">
      <w:pPr>
        <w:pStyle w:val="ConsPlusNormal"/>
        <w:ind w:firstLine="709"/>
        <w:jc w:val="both"/>
      </w:pPr>
      <w:r>
        <w:t>- 33 квадратных метра на одиноко проживающего человека;</w:t>
      </w:r>
    </w:p>
    <w:p w:rsidR="00931FA7" w:rsidRDefault="00931FA7" w:rsidP="00332BD2">
      <w:pPr>
        <w:pStyle w:val="ConsPlusNormal"/>
        <w:ind w:firstLine="709"/>
        <w:jc w:val="both"/>
      </w:pPr>
      <w:r>
        <w:t>- 42 квадратных метра на семью из двух человек;</w:t>
      </w:r>
    </w:p>
    <w:p w:rsidR="00931FA7" w:rsidRDefault="00931FA7" w:rsidP="00332BD2">
      <w:pPr>
        <w:pStyle w:val="ConsPlusNormal"/>
        <w:ind w:firstLine="709"/>
        <w:jc w:val="both"/>
      </w:pPr>
      <w:r>
        <w:t>- 18 квадратных метров общей площади жилья на одного члена семьи для семьи из трех и более человек;</w:t>
      </w:r>
    </w:p>
    <w:p w:rsidR="00931FA7" w:rsidRDefault="00931FA7" w:rsidP="00332BD2">
      <w:pPr>
        <w:pStyle w:val="ConsPlusNormal"/>
        <w:ind w:firstLine="709"/>
        <w:jc w:val="both"/>
      </w:pPr>
      <w:proofErr w:type="spellStart"/>
      <w:r>
        <w:t>С</w:t>
      </w:r>
      <w:r>
        <w:rPr>
          <w:vertAlign w:val="subscript"/>
        </w:rPr>
        <w:t>тм</w:t>
      </w:r>
      <w:proofErr w:type="spellEnd"/>
      <w:r>
        <w:t xml:space="preserve"> - размер рыночной стоимости 1 кв. метра общей площади жилья по муниципальному образованию области, установленный распоряжением правительства Еврейской автономной области;</w:t>
      </w:r>
    </w:p>
    <w:p w:rsidR="00931FA7" w:rsidRDefault="00931FA7" w:rsidP="00332BD2">
      <w:pPr>
        <w:pStyle w:val="ConsPlusNormal"/>
        <w:ind w:firstLine="709"/>
        <w:jc w:val="both"/>
      </w:pPr>
      <w:r>
        <w:t>K - количество членов семьи работника</w:t>
      </w:r>
      <w:r w:rsidR="007A39D6">
        <w:t xml:space="preserve"> учреждения культуры</w:t>
      </w:r>
      <w:r>
        <w:t xml:space="preserve"> муниципальной организации для семей из одного человека и семей из трех и более человек;</w:t>
      </w:r>
    </w:p>
    <w:p w:rsidR="00931FA7" w:rsidRDefault="00931FA7" w:rsidP="00332BD2">
      <w:pPr>
        <w:pStyle w:val="ConsPlusNormal"/>
        <w:ind w:firstLine="709"/>
        <w:jc w:val="both"/>
      </w:pPr>
      <w:r>
        <w:lastRenderedPageBreak/>
        <w:t>N - количество семей, состоящих из двух человек;</w:t>
      </w:r>
    </w:p>
    <w:p w:rsidR="00931FA7" w:rsidRDefault="00931FA7" w:rsidP="00332BD2">
      <w:pPr>
        <w:pStyle w:val="ConsPlusNormal"/>
        <w:ind w:firstLine="709"/>
        <w:jc w:val="both"/>
      </w:pPr>
      <w:r>
        <w:t>SUM - знак суммирования.</w:t>
      </w:r>
    </w:p>
    <w:p w:rsidR="00931FA7" w:rsidRDefault="00931FA7" w:rsidP="00332BD2">
      <w:pPr>
        <w:pStyle w:val="ConsPlusNormal"/>
        <w:ind w:firstLine="709"/>
        <w:jc w:val="both"/>
      </w:pPr>
      <w:r>
        <w:t>4. Условиями предоставления трансферта являются:</w:t>
      </w:r>
    </w:p>
    <w:p w:rsidR="00931FA7" w:rsidRDefault="00931FA7" w:rsidP="00332BD2">
      <w:pPr>
        <w:pStyle w:val="ConsPlusNormal"/>
        <w:ind w:firstLine="709"/>
        <w:jc w:val="both"/>
      </w:pPr>
      <w:r>
        <w:t xml:space="preserve">- наличие утвержденного списка </w:t>
      </w:r>
      <w:r w:rsidR="0004481A" w:rsidRPr="0004481A">
        <w:t>работников учреждений культуры муниципальных организаций</w:t>
      </w:r>
      <w:r w:rsidR="0004481A">
        <w:t xml:space="preserve"> </w:t>
      </w:r>
      <w:r>
        <w:t>соответствующего муниципального образования области, нуждающихся в улучшении жилищных условий;</w:t>
      </w:r>
    </w:p>
    <w:p w:rsidR="00931FA7" w:rsidRDefault="00931FA7" w:rsidP="00332BD2">
      <w:pPr>
        <w:pStyle w:val="ConsPlusNormal"/>
        <w:ind w:firstLine="709"/>
        <w:jc w:val="both"/>
      </w:pPr>
      <w:r>
        <w:t>- обеспечение муниципальным образованием области соответствия значений показателей результативности использования трансферта.</w:t>
      </w:r>
    </w:p>
    <w:p w:rsidR="00931FA7" w:rsidRDefault="00931FA7" w:rsidP="00332BD2">
      <w:pPr>
        <w:pStyle w:val="ConsPlusNormal"/>
        <w:ind w:firstLine="709"/>
        <w:jc w:val="both"/>
      </w:pPr>
      <w:r>
        <w:t xml:space="preserve">5. Трансферт предоставляется </w:t>
      </w:r>
      <w:r w:rsidR="0004481A">
        <w:t>управлением культуры правительства</w:t>
      </w:r>
      <w:r>
        <w:t xml:space="preserve"> Еврейской автономной области </w:t>
      </w:r>
      <w:r w:rsidRPr="0004481A">
        <w:t xml:space="preserve">(далее </w:t>
      </w:r>
      <w:r w:rsidR="0004481A" w:rsidRPr="0004481A">
        <w:t>–</w:t>
      </w:r>
      <w:r w:rsidRPr="0004481A">
        <w:t xml:space="preserve"> </w:t>
      </w:r>
      <w:r w:rsidR="0004481A">
        <w:t>управление культуры</w:t>
      </w:r>
      <w:r>
        <w:t xml:space="preserve">) муниципальным образованиям области в пределах бюджетных ассигнований, предусмотренных законом об областном бюджете на очередной </w:t>
      </w:r>
      <w:r w:rsidRPr="007A39D6">
        <w:t>финансовый год и плановый период, на данные цели в соответствии со сводной бюджетной росписью областного бюджета в пределах лимитов бюджетных обязательств.</w:t>
      </w:r>
    </w:p>
    <w:p w:rsidR="00931FA7" w:rsidRDefault="00931FA7" w:rsidP="00332BD2">
      <w:pPr>
        <w:pStyle w:val="ConsPlusNormal"/>
        <w:ind w:firstLine="709"/>
        <w:jc w:val="both"/>
      </w:pPr>
      <w:r>
        <w:t xml:space="preserve">6. Предоставление трансферта бюджетам муниципальных образований области осуществляется на основании заключенного соглашения между </w:t>
      </w:r>
      <w:r w:rsidR="007A39D6">
        <w:t>управлением культуры</w:t>
      </w:r>
      <w:r w:rsidRPr="007A39D6">
        <w:t xml:space="preserve"> и органами местного самоуправления муниципальных образований области (далее - Соглашение) путем перечисления средств на счета, открытые в территориальном органе Федерального казначейства.</w:t>
      </w:r>
    </w:p>
    <w:p w:rsidR="00931FA7" w:rsidRDefault="00931FA7" w:rsidP="00332BD2">
      <w:pPr>
        <w:pStyle w:val="ConsPlusNormal"/>
        <w:ind w:firstLine="709"/>
        <w:jc w:val="both"/>
      </w:pPr>
      <w:r>
        <w:t>Соглашение должно содержать:</w:t>
      </w:r>
    </w:p>
    <w:p w:rsidR="00931FA7" w:rsidRDefault="00931FA7" w:rsidP="00332BD2">
      <w:pPr>
        <w:pStyle w:val="ConsPlusNormal"/>
        <w:ind w:firstLine="709"/>
        <w:jc w:val="both"/>
      </w:pPr>
      <w:proofErr w:type="gramStart"/>
      <w:r>
        <w:t>а</w:t>
      </w:r>
      <w:proofErr w:type="gramEnd"/>
      <w:r>
        <w:t>) размер предоставляемого трансферта, порядок, условия и сроки его перечисления в бюджет муниципальных образований области;</w:t>
      </w:r>
    </w:p>
    <w:p w:rsidR="00931FA7" w:rsidRDefault="00931FA7" w:rsidP="00332BD2">
      <w:pPr>
        <w:pStyle w:val="ConsPlusNormal"/>
        <w:ind w:firstLine="709"/>
        <w:jc w:val="both"/>
      </w:pPr>
      <w:proofErr w:type="gramStart"/>
      <w:r>
        <w:t>б</w:t>
      </w:r>
      <w:proofErr w:type="gramEnd"/>
      <w:r>
        <w:t>) значения показателей результативности использования трансферта и обязательства муниципальных образований области по его достижению;</w:t>
      </w:r>
    </w:p>
    <w:p w:rsidR="00931FA7" w:rsidRDefault="00931FA7" w:rsidP="00332BD2">
      <w:pPr>
        <w:pStyle w:val="ConsPlusNormal"/>
        <w:ind w:firstLine="709"/>
        <w:jc w:val="both"/>
      </w:pPr>
      <w:proofErr w:type="gramStart"/>
      <w:r>
        <w:t>в</w:t>
      </w:r>
      <w:proofErr w:type="gramEnd"/>
      <w:r>
        <w:t>) сроки и порядок представления отчетности об осуществлении расходов муниципальных образований области, источником финансового обеспечения которых является трансферт, а также о достижении значений показателей результативности использования трансферта;</w:t>
      </w:r>
    </w:p>
    <w:p w:rsidR="00931FA7" w:rsidRDefault="00931FA7" w:rsidP="00332BD2">
      <w:pPr>
        <w:pStyle w:val="ConsPlusNormal"/>
        <w:ind w:firstLine="709"/>
        <w:jc w:val="both"/>
      </w:pPr>
      <w:proofErr w:type="gramStart"/>
      <w:r>
        <w:t>г</w:t>
      </w:r>
      <w:proofErr w:type="gramEnd"/>
      <w:r>
        <w:t xml:space="preserve">) </w:t>
      </w:r>
      <w:r w:rsidRPr="007A39D6">
        <w:t>порядок осуществления контроля за выполнением муниципальным образованием области обязательств, предусмотренных Соглашением;</w:t>
      </w:r>
    </w:p>
    <w:p w:rsidR="00931FA7" w:rsidRDefault="00931FA7" w:rsidP="00332BD2">
      <w:pPr>
        <w:pStyle w:val="ConsPlusNormal"/>
        <w:ind w:firstLine="709"/>
        <w:jc w:val="both"/>
      </w:pPr>
      <w:proofErr w:type="gramStart"/>
      <w:r>
        <w:t>д</w:t>
      </w:r>
      <w:proofErr w:type="gramEnd"/>
      <w:r>
        <w:t>) последствия недостижения муниципальным образованием области установленных значений показателей результативности использования трансферта;</w:t>
      </w:r>
    </w:p>
    <w:p w:rsidR="00931FA7" w:rsidRDefault="00931FA7" w:rsidP="00332BD2">
      <w:pPr>
        <w:pStyle w:val="ConsPlusNormal"/>
        <w:ind w:firstLine="709"/>
        <w:jc w:val="both"/>
      </w:pPr>
      <w:proofErr w:type="gramStart"/>
      <w:r>
        <w:t>ж</w:t>
      </w:r>
      <w:proofErr w:type="gramEnd"/>
      <w:r>
        <w:t>) ответственность сторон за нарушение условий Соглашения;</w:t>
      </w:r>
    </w:p>
    <w:p w:rsidR="00931FA7" w:rsidRDefault="00931FA7" w:rsidP="00332BD2">
      <w:pPr>
        <w:pStyle w:val="ConsPlusNormal"/>
        <w:ind w:firstLine="709"/>
        <w:jc w:val="both"/>
      </w:pPr>
      <w:proofErr w:type="gramStart"/>
      <w:r>
        <w:t>з</w:t>
      </w:r>
      <w:proofErr w:type="gramEnd"/>
      <w:r>
        <w:t>) порядок возврата трансфертов в случае установления по итогам проверок фактов несоблюдения целей и условий предоставления трансфертов, определенных настоящими Правилами;</w:t>
      </w:r>
    </w:p>
    <w:p w:rsidR="00931FA7" w:rsidRDefault="00931FA7" w:rsidP="00332BD2">
      <w:pPr>
        <w:pStyle w:val="ConsPlusNormal"/>
        <w:ind w:firstLine="709"/>
        <w:jc w:val="both"/>
      </w:pPr>
      <w:proofErr w:type="gramStart"/>
      <w:r>
        <w:t>и</w:t>
      </w:r>
      <w:proofErr w:type="gramEnd"/>
      <w:r>
        <w:t>) иные условия, регулирующие порядок предоставления трансферта муниципальным образованиям области.</w:t>
      </w:r>
    </w:p>
    <w:p w:rsidR="00931FA7" w:rsidRDefault="00931FA7" w:rsidP="00332BD2">
      <w:pPr>
        <w:pStyle w:val="ConsPlusNormal"/>
        <w:ind w:firstLine="709"/>
        <w:jc w:val="both"/>
      </w:pPr>
      <w:r>
        <w:t xml:space="preserve">7. Оценка эффективности использования трансферта осуществляется </w:t>
      </w:r>
      <w:r w:rsidR="007A39D6">
        <w:t>управлением культуры</w:t>
      </w:r>
      <w:r>
        <w:t xml:space="preserve"> исходя из достижения значений показателей результативности использования трансферта путем сопоставления фактически достигнутых и плановых показателей результативности использования трансферта, установленных Соглашением для предоставления трансферта. </w:t>
      </w:r>
      <w:r>
        <w:lastRenderedPageBreak/>
        <w:t xml:space="preserve">Показателем результативности использования трансферта является количество приобретенных благоустроенных жилых помещений специализированного муниципального жилищного фонда </w:t>
      </w:r>
      <w:r w:rsidRPr="007A39D6">
        <w:t xml:space="preserve">для работников </w:t>
      </w:r>
      <w:r w:rsidR="007A39D6" w:rsidRPr="007A39D6">
        <w:t xml:space="preserve">учреждения культуры муниципальных </w:t>
      </w:r>
      <w:r w:rsidRPr="007A39D6">
        <w:t>организаций.</w:t>
      </w:r>
    </w:p>
    <w:p w:rsidR="00931FA7" w:rsidRDefault="00931FA7" w:rsidP="00332BD2">
      <w:pPr>
        <w:pStyle w:val="ConsPlusNormal"/>
        <w:ind w:firstLine="709"/>
        <w:jc w:val="both"/>
      </w:pPr>
      <w:r>
        <w:t xml:space="preserve">8. Муниципальные образования области ежемесячно, </w:t>
      </w:r>
      <w:r w:rsidRPr="007A39D6">
        <w:t>не позднее 3 числа месяца, следующего за отчетным месяцем, представляют в комитет образования отчеты</w:t>
      </w:r>
      <w:r>
        <w:t xml:space="preserve"> об осуществлении расходов бюджетов муниципальных образований области, источником финансового обеспечения которых является трансферт, а также о достижении значений показателей результативности использования трансферта по формам, </w:t>
      </w:r>
      <w:r w:rsidRPr="007A39D6">
        <w:t xml:space="preserve">установленным </w:t>
      </w:r>
      <w:r w:rsidR="007A39D6">
        <w:t>управлением культуры.</w:t>
      </w:r>
    </w:p>
    <w:p w:rsidR="00931FA7" w:rsidRDefault="007A39D6" w:rsidP="00332BD2">
      <w:pPr>
        <w:pStyle w:val="ConsPlusNormal"/>
        <w:ind w:firstLine="709"/>
        <w:jc w:val="both"/>
      </w:pPr>
      <w:r>
        <w:t>9. Не</w:t>
      </w:r>
      <w:r w:rsidR="00931FA7">
        <w:t>использованный в текущем финансовом году остаток трансферта подлежит перечислению в доход областного бюджета органами местного самоуправления муниципальных образований области в порядке, установленном бюджетным законодательством Российской Федерации.</w:t>
      </w:r>
    </w:p>
    <w:p w:rsidR="00931FA7" w:rsidRDefault="00931FA7" w:rsidP="00332BD2">
      <w:pPr>
        <w:pStyle w:val="ConsPlusNormal"/>
        <w:ind w:firstLine="709"/>
        <w:jc w:val="both"/>
      </w:pPr>
      <w:r>
        <w:t>В случае если неиспользованный остаток трансферта не перечислен в доход областного бюджета, этот остаток подлежит взысканию в доход областного бюджета в порядке, установленном бюджетным законодательством Российской Федерации.</w:t>
      </w:r>
    </w:p>
    <w:p w:rsidR="00931FA7" w:rsidRDefault="00931FA7" w:rsidP="00351036">
      <w:pPr>
        <w:pStyle w:val="ConsPlusNormal"/>
        <w:ind w:firstLine="709"/>
        <w:jc w:val="both"/>
      </w:pPr>
      <w:r>
        <w:t xml:space="preserve">10. </w:t>
      </w:r>
      <w:r w:rsidRPr="007A39D6">
        <w:t>В случае если муниципальным образованием области по состоянию на 31 декабря 20</w:t>
      </w:r>
      <w:r w:rsidR="00351036" w:rsidRPr="007A39D6">
        <w:t>20</w:t>
      </w:r>
      <w:r>
        <w:t xml:space="preserve"> года допущены нарушения обязательств по достижению значений показателей результативности использования трансферта и в срок до 25 января 202</w:t>
      </w:r>
      <w:r w:rsidR="00351036">
        <w:t>1</w:t>
      </w:r>
      <w:r>
        <w:t xml:space="preserve"> года указанные нарушения не устранены, объем средств, подлежащий возврату из бюджета муниципального образования области в областной бюджет до 20 мая 202</w:t>
      </w:r>
      <w:r w:rsidR="00351036">
        <w:t>1</w:t>
      </w:r>
      <w:r>
        <w:t xml:space="preserve"> года, рассчитывается по формуле:</w:t>
      </w:r>
      <w:r w:rsidR="00351036">
        <w:br/>
      </w:r>
    </w:p>
    <w:p w:rsidR="00931FA7" w:rsidRDefault="00931FA7" w:rsidP="00351036">
      <w:pPr>
        <w:pStyle w:val="ConsPlusNormal"/>
        <w:jc w:val="center"/>
      </w:pPr>
      <w:r>
        <w:t>V возврата = (V трансферта x k) x 0,1,</w:t>
      </w:r>
    </w:p>
    <w:p w:rsidR="00351036" w:rsidRDefault="00351036" w:rsidP="00351036">
      <w:pPr>
        <w:pStyle w:val="ConsPlusNormal"/>
        <w:jc w:val="center"/>
      </w:pPr>
    </w:p>
    <w:p w:rsidR="00931FA7" w:rsidRDefault="00931FA7" w:rsidP="00351036">
      <w:pPr>
        <w:pStyle w:val="ConsPlusNormal"/>
        <w:ind w:firstLine="709"/>
        <w:jc w:val="both"/>
      </w:pPr>
      <w:proofErr w:type="gramStart"/>
      <w:r>
        <w:t>где</w:t>
      </w:r>
      <w:proofErr w:type="gramEnd"/>
      <w:r>
        <w:t>:</w:t>
      </w:r>
    </w:p>
    <w:p w:rsidR="00351036" w:rsidRDefault="00931FA7" w:rsidP="00351036">
      <w:pPr>
        <w:pStyle w:val="ConsPlusNormal"/>
        <w:ind w:firstLine="709"/>
        <w:jc w:val="both"/>
      </w:pPr>
      <w:r>
        <w:t xml:space="preserve">V трансферта - размер трансферта, предоставленного бюджету муниципального образования области в отчетном финансовом </w:t>
      </w:r>
      <w:proofErr w:type="gramStart"/>
      <w:r>
        <w:t>году;</w:t>
      </w:r>
      <w:r w:rsidR="00351036">
        <w:br/>
      </w:r>
      <w:r>
        <w:t>k</w:t>
      </w:r>
      <w:proofErr w:type="gramEnd"/>
      <w:r>
        <w:t xml:space="preserve"> - коэффициент возврата трансферта, рассчитываемый по формуле:</w:t>
      </w:r>
      <w:r w:rsidR="00351036">
        <w:br/>
      </w:r>
    </w:p>
    <w:p w:rsidR="00931FA7" w:rsidRDefault="00931FA7" w:rsidP="00351036">
      <w:pPr>
        <w:pStyle w:val="ConsPlusNormal"/>
        <w:jc w:val="center"/>
      </w:pPr>
      <w:proofErr w:type="gramStart"/>
      <w:r>
        <w:t>k</w:t>
      </w:r>
      <w:proofErr w:type="gramEnd"/>
      <w:r>
        <w:t xml:space="preserve"> = SUM </w:t>
      </w:r>
      <w:proofErr w:type="spellStart"/>
      <w:r>
        <w:t>Di</w:t>
      </w:r>
      <w:proofErr w:type="spellEnd"/>
      <w:r>
        <w:t>,</w:t>
      </w:r>
    </w:p>
    <w:p w:rsidR="00351036" w:rsidRDefault="00351036" w:rsidP="00351036">
      <w:pPr>
        <w:pStyle w:val="ConsPlusNormal"/>
        <w:jc w:val="center"/>
      </w:pPr>
    </w:p>
    <w:p w:rsidR="00931FA7" w:rsidRDefault="00931FA7" w:rsidP="00351036">
      <w:pPr>
        <w:pStyle w:val="ConsPlusNormal"/>
        <w:ind w:firstLine="709"/>
        <w:jc w:val="both"/>
      </w:pPr>
      <w:proofErr w:type="gramStart"/>
      <w:r>
        <w:t>где</w:t>
      </w:r>
      <w:proofErr w:type="gramEnd"/>
      <w:r>
        <w:t>:</w:t>
      </w:r>
    </w:p>
    <w:p w:rsidR="00931FA7" w:rsidRDefault="00931FA7" w:rsidP="00351036">
      <w:pPr>
        <w:pStyle w:val="ConsPlusNormal"/>
        <w:ind w:firstLine="709"/>
        <w:jc w:val="both"/>
      </w:pPr>
      <w:proofErr w:type="spellStart"/>
      <w:r>
        <w:t>Di</w:t>
      </w:r>
      <w:proofErr w:type="spellEnd"/>
      <w:r>
        <w:t xml:space="preserve"> - индекс, отражающий уровень недостижения значения i-</w:t>
      </w:r>
      <w:proofErr w:type="spellStart"/>
      <w:r>
        <w:t>го</w:t>
      </w:r>
      <w:proofErr w:type="spellEnd"/>
      <w:r>
        <w:t xml:space="preserve"> показателя результативности использования трансферта, который определяется по формуле:</w:t>
      </w:r>
    </w:p>
    <w:p w:rsidR="00931FA7" w:rsidRDefault="00931FA7" w:rsidP="00351036">
      <w:pPr>
        <w:pStyle w:val="ConsPlusNormal"/>
        <w:jc w:val="center"/>
      </w:pPr>
      <w:proofErr w:type="spellStart"/>
      <w:r>
        <w:t>Di</w:t>
      </w:r>
      <w:proofErr w:type="spellEnd"/>
      <w:r>
        <w:t xml:space="preserve"> = 1 - </w:t>
      </w:r>
      <w:proofErr w:type="spellStart"/>
      <w:r>
        <w:t>Ti</w:t>
      </w:r>
      <w:proofErr w:type="spellEnd"/>
      <w:r>
        <w:t xml:space="preserve"> / </w:t>
      </w:r>
      <w:proofErr w:type="spellStart"/>
      <w:r>
        <w:t>Si</w:t>
      </w:r>
      <w:proofErr w:type="spellEnd"/>
      <w:r>
        <w:t>,</w:t>
      </w:r>
    </w:p>
    <w:p w:rsidR="00931FA7" w:rsidRDefault="00931FA7" w:rsidP="00BE606A">
      <w:pPr>
        <w:pStyle w:val="ConsPlusNormal"/>
        <w:ind w:firstLine="709"/>
        <w:jc w:val="both"/>
      </w:pPr>
      <w:proofErr w:type="gramStart"/>
      <w:r>
        <w:t>где</w:t>
      </w:r>
      <w:proofErr w:type="gramEnd"/>
      <w:r>
        <w:t>:</w:t>
      </w:r>
    </w:p>
    <w:p w:rsidR="00931FA7" w:rsidRDefault="00931FA7" w:rsidP="00BE606A">
      <w:pPr>
        <w:pStyle w:val="ConsPlusNormal"/>
        <w:ind w:firstLine="709"/>
        <w:jc w:val="both"/>
      </w:pPr>
      <w:proofErr w:type="spellStart"/>
      <w:r>
        <w:t>Ti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трансферта на отчетную дату;</w:t>
      </w:r>
    </w:p>
    <w:p w:rsidR="00931FA7" w:rsidRDefault="00931FA7" w:rsidP="00BE606A">
      <w:pPr>
        <w:pStyle w:val="ConsPlusNormal"/>
        <w:ind w:firstLine="709"/>
        <w:jc w:val="both"/>
      </w:pPr>
      <w:proofErr w:type="spellStart"/>
      <w:r>
        <w:t>Si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трансферта, установленное Соглашением.</w:t>
      </w:r>
    </w:p>
    <w:p w:rsidR="00931FA7" w:rsidRDefault="00931FA7" w:rsidP="00BE606A">
      <w:pPr>
        <w:pStyle w:val="ConsPlusNormal"/>
        <w:ind w:firstLine="709"/>
        <w:jc w:val="both"/>
      </w:pPr>
      <w:r>
        <w:lastRenderedPageBreak/>
        <w:t>При расчете коэффициента возврата трансферта используются только положительные значения индекса, отражающего уровень недостижения значения i-</w:t>
      </w:r>
      <w:proofErr w:type="spellStart"/>
      <w:r>
        <w:t>го</w:t>
      </w:r>
      <w:proofErr w:type="spellEnd"/>
      <w:r>
        <w:t xml:space="preserve"> показателя результативности использования трансферта.</w:t>
      </w:r>
    </w:p>
    <w:p w:rsidR="00931FA7" w:rsidRDefault="00931FA7" w:rsidP="00BE606A">
      <w:pPr>
        <w:pStyle w:val="ConsPlusNormal"/>
        <w:ind w:firstLine="709"/>
        <w:jc w:val="both"/>
      </w:pPr>
      <w:r>
        <w:t>11. Распределение трансферта утверждается распоряжением правительства области.</w:t>
      </w:r>
    </w:p>
    <w:p w:rsidR="00931FA7" w:rsidRDefault="00931FA7" w:rsidP="00BE606A">
      <w:pPr>
        <w:pStyle w:val="ConsPlusNormal"/>
        <w:ind w:firstLine="709"/>
        <w:jc w:val="both"/>
      </w:pPr>
      <w:r>
        <w:t>12. Трансферт в случае его нецелевого использования подлежит взысканию в доход областного бюджета в соответствии с бюджетным законодательством.</w:t>
      </w:r>
    </w:p>
    <w:p w:rsidR="00931FA7" w:rsidRDefault="00931FA7" w:rsidP="00BE606A">
      <w:pPr>
        <w:pStyle w:val="ConsPlusNormal"/>
        <w:ind w:firstLine="709"/>
        <w:jc w:val="both"/>
      </w:pPr>
      <w:r>
        <w:t xml:space="preserve">13. Контроль за соблюдением условий расходования трансферта муниципальными образованиями области осуществляется </w:t>
      </w:r>
      <w:r w:rsidR="007A39D6">
        <w:t>управлением культуры</w:t>
      </w:r>
      <w:r>
        <w:t>.</w:t>
      </w:r>
    </w:p>
    <w:p w:rsidR="00EB398A" w:rsidRPr="00AE593A" w:rsidRDefault="00EB398A" w:rsidP="00351036">
      <w:pPr>
        <w:tabs>
          <w:tab w:val="left" w:pos="3872"/>
        </w:tabs>
        <w:outlineLvl w:val="0"/>
        <w:rPr>
          <w:color w:val="000000" w:themeColor="text1"/>
        </w:rPr>
      </w:pPr>
    </w:p>
    <w:sectPr w:rsidR="00EB398A" w:rsidRPr="00AE593A" w:rsidSect="00BE606A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870" w:rsidRDefault="00335870">
      <w:r>
        <w:separator/>
      </w:r>
    </w:p>
  </w:endnote>
  <w:endnote w:type="continuationSeparator" w:id="0">
    <w:p w:rsidR="00335870" w:rsidRDefault="0033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870" w:rsidRDefault="00335870">
      <w:r>
        <w:separator/>
      </w:r>
    </w:p>
  </w:footnote>
  <w:footnote w:type="continuationSeparator" w:id="0">
    <w:p w:rsidR="00335870" w:rsidRDefault="0033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4D4" w:rsidRPr="00BE606A" w:rsidRDefault="004674D4">
    <w:pPr>
      <w:pStyle w:val="a5"/>
      <w:jc w:val="center"/>
      <w:rPr>
        <w:sz w:val="24"/>
      </w:rPr>
    </w:pPr>
    <w:r w:rsidRPr="00BE606A">
      <w:rPr>
        <w:sz w:val="24"/>
      </w:rPr>
      <w:fldChar w:fldCharType="begin"/>
    </w:r>
    <w:r w:rsidRPr="00BE606A">
      <w:rPr>
        <w:sz w:val="24"/>
      </w:rPr>
      <w:instrText>PAGE   \* MERGEFORMAT</w:instrText>
    </w:r>
    <w:r w:rsidRPr="00BE606A">
      <w:rPr>
        <w:sz w:val="24"/>
      </w:rPr>
      <w:fldChar w:fldCharType="separate"/>
    </w:r>
    <w:r w:rsidR="004F260F">
      <w:rPr>
        <w:noProof/>
        <w:sz w:val="24"/>
      </w:rPr>
      <w:t>2</w:t>
    </w:r>
    <w:r w:rsidRPr="00BE606A">
      <w:rPr>
        <w:sz w:val="24"/>
      </w:rPr>
      <w:fldChar w:fldCharType="end"/>
    </w:r>
  </w:p>
  <w:p w:rsidR="00BB2AAE" w:rsidRPr="00BE606A" w:rsidRDefault="00BB2AAE">
    <w:pPr>
      <w:pStyle w:val="a5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11-08'}"/>
    <w:docVar w:name="attr1#Наименование" w:val="VARCHAR#Об утверждении правил предоставления в 2019 году иного межбюджетного трансферта из федерального бюджета бюджету муниципального образования «Волочаевское городское поселение» на приобретение оборудования, установку пожарной сигнализации и ограждения для Социально-культурного центра в п. Волочаевка-2 Смидовичского района Еврейской автономной области.docx"/>
    <w:docVar w:name="attr2#Вид документа" w:val="OID_TYPE#620200006=Постановление правительства ЕАО"/>
    <w:docVar w:name="attr3#Автор" w:val="OID_TYPE#115285=Болтыбаева Е.П."/>
    <w:docVar w:name="attr4#Дата поступления" w:val="DATE#{d '2019-11-08'}"/>
    <w:docVar w:name="attr5#Бланк" w:val="OID_TYPE#"/>
    <w:docVar w:name="ESED_ActEdition" w:val="3"/>
    <w:docVar w:name="ESED_AutorEdition" w:val="Климин С.А."/>
    <w:docVar w:name="ESED_Edition" w:val="3"/>
    <w:docVar w:name="ESED_IDnum" w:val="Климин/2019-4000"/>
    <w:docVar w:name="ESED_Lock" w:val="1"/>
    <w:docVar w:name="SPD_Annotation" w:val="Климин/2019-4000(3)#Об утверждении правил предоставления в 2019 году иного межбюджетного трансферта из федерального бюджета бюджету муниципального образования «Волочаевское городское поселение» на приобретение оборудования, установку пожарной сигнализации и ограждения для Социально-культурного центра в п. Волочаевка-2 Смидовичского района Еврейской автономной области.docx#Постановление правительства ЕАО   Болтыбаева Е.П.#Дата создания редакции: 08.11.2019"/>
    <w:docVar w:name="SPD_AreaName" w:val="Документ (ЕСЭД)"/>
    <w:docVar w:name="SPD_hostURL" w:val="base-eao"/>
    <w:docVar w:name="SPD_NumDoc" w:val="57417"/>
    <w:docVar w:name="SPD_vDir" w:val="spd"/>
  </w:docVars>
  <w:rsids>
    <w:rsidRoot w:val="000442D3"/>
    <w:rsid w:val="000118FB"/>
    <w:rsid w:val="00041FF8"/>
    <w:rsid w:val="000442D3"/>
    <w:rsid w:val="0004481A"/>
    <w:rsid w:val="00044FDB"/>
    <w:rsid w:val="000451E7"/>
    <w:rsid w:val="00080420"/>
    <w:rsid w:val="00091A43"/>
    <w:rsid w:val="000A03DD"/>
    <w:rsid w:val="000A5AB8"/>
    <w:rsid w:val="000C30EB"/>
    <w:rsid w:val="000C5A30"/>
    <w:rsid w:val="000D48A7"/>
    <w:rsid w:val="000D7B1A"/>
    <w:rsid w:val="000E0E1A"/>
    <w:rsid w:val="00115372"/>
    <w:rsid w:val="0012400D"/>
    <w:rsid w:val="001372A2"/>
    <w:rsid w:val="001411A5"/>
    <w:rsid w:val="001418AD"/>
    <w:rsid w:val="001531A2"/>
    <w:rsid w:val="0018692E"/>
    <w:rsid w:val="001E2CD1"/>
    <w:rsid w:val="0021207B"/>
    <w:rsid w:val="002214B3"/>
    <w:rsid w:val="002241FC"/>
    <w:rsid w:val="0024225B"/>
    <w:rsid w:val="00244DD6"/>
    <w:rsid w:val="002514C2"/>
    <w:rsid w:val="00273FB9"/>
    <w:rsid w:val="00285E05"/>
    <w:rsid w:val="002A485F"/>
    <w:rsid w:val="002B0EE6"/>
    <w:rsid w:val="002B506C"/>
    <w:rsid w:val="002C1605"/>
    <w:rsid w:val="002E49F5"/>
    <w:rsid w:val="002F1B6E"/>
    <w:rsid w:val="00311D67"/>
    <w:rsid w:val="00326408"/>
    <w:rsid w:val="00332BD2"/>
    <w:rsid w:val="00335870"/>
    <w:rsid w:val="00351036"/>
    <w:rsid w:val="00366A16"/>
    <w:rsid w:val="003932E2"/>
    <w:rsid w:val="003A07B1"/>
    <w:rsid w:val="003B5790"/>
    <w:rsid w:val="003B5A89"/>
    <w:rsid w:val="003F2FC3"/>
    <w:rsid w:val="003F7E6A"/>
    <w:rsid w:val="00407538"/>
    <w:rsid w:val="00465F60"/>
    <w:rsid w:val="0046713D"/>
    <w:rsid w:val="004674D4"/>
    <w:rsid w:val="00467815"/>
    <w:rsid w:val="0047740A"/>
    <w:rsid w:val="00477A3E"/>
    <w:rsid w:val="00482075"/>
    <w:rsid w:val="004829E6"/>
    <w:rsid w:val="0049029E"/>
    <w:rsid w:val="004A3771"/>
    <w:rsid w:val="004A3A22"/>
    <w:rsid w:val="004C2D0E"/>
    <w:rsid w:val="004F260F"/>
    <w:rsid w:val="00505F64"/>
    <w:rsid w:val="0052719E"/>
    <w:rsid w:val="005450F8"/>
    <w:rsid w:val="00547202"/>
    <w:rsid w:val="00551271"/>
    <w:rsid w:val="005547B9"/>
    <w:rsid w:val="005754B6"/>
    <w:rsid w:val="0059205F"/>
    <w:rsid w:val="00592E9F"/>
    <w:rsid w:val="005B05D7"/>
    <w:rsid w:val="005B43BA"/>
    <w:rsid w:val="005C2C66"/>
    <w:rsid w:val="005D5D37"/>
    <w:rsid w:val="005F15AC"/>
    <w:rsid w:val="005F584B"/>
    <w:rsid w:val="00600769"/>
    <w:rsid w:val="00603BB8"/>
    <w:rsid w:val="00613017"/>
    <w:rsid w:val="00635D4B"/>
    <w:rsid w:val="0063707A"/>
    <w:rsid w:val="006636E2"/>
    <w:rsid w:val="00665DC0"/>
    <w:rsid w:val="00666B2C"/>
    <w:rsid w:val="00671F74"/>
    <w:rsid w:val="00680BF1"/>
    <w:rsid w:val="006B4937"/>
    <w:rsid w:val="006C1F4C"/>
    <w:rsid w:val="006C6FFC"/>
    <w:rsid w:val="006E634D"/>
    <w:rsid w:val="006F11E6"/>
    <w:rsid w:val="006F256D"/>
    <w:rsid w:val="006F475A"/>
    <w:rsid w:val="007001FB"/>
    <w:rsid w:val="00702A8E"/>
    <w:rsid w:val="007067E4"/>
    <w:rsid w:val="00715363"/>
    <w:rsid w:val="00737145"/>
    <w:rsid w:val="00745B1E"/>
    <w:rsid w:val="00754878"/>
    <w:rsid w:val="00755DA7"/>
    <w:rsid w:val="007710AC"/>
    <w:rsid w:val="007A09E2"/>
    <w:rsid w:val="007A39D6"/>
    <w:rsid w:val="007A7A23"/>
    <w:rsid w:val="007E08B6"/>
    <w:rsid w:val="007E2400"/>
    <w:rsid w:val="007E37AE"/>
    <w:rsid w:val="00812A13"/>
    <w:rsid w:val="00823A83"/>
    <w:rsid w:val="00827A3D"/>
    <w:rsid w:val="008416FE"/>
    <w:rsid w:val="00852819"/>
    <w:rsid w:val="0086517D"/>
    <w:rsid w:val="00867481"/>
    <w:rsid w:val="0087181A"/>
    <w:rsid w:val="008A235C"/>
    <w:rsid w:val="008C2723"/>
    <w:rsid w:val="008C646A"/>
    <w:rsid w:val="008E53F8"/>
    <w:rsid w:val="008F652B"/>
    <w:rsid w:val="008F6AF6"/>
    <w:rsid w:val="009132E7"/>
    <w:rsid w:val="00927ABD"/>
    <w:rsid w:val="00927D16"/>
    <w:rsid w:val="00931FA7"/>
    <w:rsid w:val="00943B01"/>
    <w:rsid w:val="00945E3D"/>
    <w:rsid w:val="0096208A"/>
    <w:rsid w:val="009838E8"/>
    <w:rsid w:val="009861C8"/>
    <w:rsid w:val="00993376"/>
    <w:rsid w:val="00996844"/>
    <w:rsid w:val="009A3AE3"/>
    <w:rsid w:val="009A563E"/>
    <w:rsid w:val="009B6682"/>
    <w:rsid w:val="009C2A62"/>
    <w:rsid w:val="009D1E93"/>
    <w:rsid w:val="009F028B"/>
    <w:rsid w:val="009F671E"/>
    <w:rsid w:val="00A36A5A"/>
    <w:rsid w:val="00A469FC"/>
    <w:rsid w:val="00A51934"/>
    <w:rsid w:val="00A52D60"/>
    <w:rsid w:val="00A540EB"/>
    <w:rsid w:val="00A6261E"/>
    <w:rsid w:val="00A83816"/>
    <w:rsid w:val="00AD0DF6"/>
    <w:rsid w:val="00AE0830"/>
    <w:rsid w:val="00AE593A"/>
    <w:rsid w:val="00AE6099"/>
    <w:rsid w:val="00B1160C"/>
    <w:rsid w:val="00B1239E"/>
    <w:rsid w:val="00B201B0"/>
    <w:rsid w:val="00B30420"/>
    <w:rsid w:val="00B31C24"/>
    <w:rsid w:val="00B6154E"/>
    <w:rsid w:val="00B83945"/>
    <w:rsid w:val="00B848DF"/>
    <w:rsid w:val="00B85B2E"/>
    <w:rsid w:val="00B90FC5"/>
    <w:rsid w:val="00BA1FDA"/>
    <w:rsid w:val="00BB2AAE"/>
    <w:rsid w:val="00BB2E54"/>
    <w:rsid w:val="00BB40DE"/>
    <w:rsid w:val="00BB6E79"/>
    <w:rsid w:val="00BC1530"/>
    <w:rsid w:val="00BC2594"/>
    <w:rsid w:val="00BE606A"/>
    <w:rsid w:val="00BF06A3"/>
    <w:rsid w:val="00BF0B4A"/>
    <w:rsid w:val="00C00A0F"/>
    <w:rsid w:val="00C15E92"/>
    <w:rsid w:val="00C25087"/>
    <w:rsid w:val="00C32686"/>
    <w:rsid w:val="00C53719"/>
    <w:rsid w:val="00C6147C"/>
    <w:rsid w:val="00C618F7"/>
    <w:rsid w:val="00C64D27"/>
    <w:rsid w:val="00C872C8"/>
    <w:rsid w:val="00C94A73"/>
    <w:rsid w:val="00CA5757"/>
    <w:rsid w:val="00CA6729"/>
    <w:rsid w:val="00CA6E26"/>
    <w:rsid w:val="00CB6F6D"/>
    <w:rsid w:val="00CE4AA3"/>
    <w:rsid w:val="00D0558F"/>
    <w:rsid w:val="00D33DD0"/>
    <w:rsid w:val="00D35E80"/>
    <w:rsid w:val="00D44644"/>
    <w:rsid w:val="00D71DB3"/>
    <w:rsid w:val="00D857EE"/>
    <w:rsid w:val="00D92EB8"/>
    <w:rsid w:val="00D959B9"/>
    <w:rsid w:val="00DD7F4A"/>
    <w:rsid w:val="00DF5B47"/>
    <w:rsid w:val="00E028C1"/>
    <w:rsid w:val="00E10499"/>
    <w:rsid w:val="00E221A7"/>
    <w:rsid w:val="00E433A3"/>
    <w:rsid w:val="00E4375F"/>
    <w:rsid w:val="00E47B32"/>
    <w:rsid w:val="00E673A7"/>
    <w:rsid w:val="00E72F0F"/>
    <w:rsid w:val="00E901DD"/>
    <w:rsid w:val="00E90322"/>
    <w:rsid w:val="00E92A72"/>
    <w:rsid w:val="00EA0FD2"/>
    <w:rsid w:val="00EB2610"/>
    <w:rsid w:val="00EB398A"/>
    <w:rsid w:val="00EB5C0B"/>
    <w:rsid w:val="00EB793E"/>
    <w:rsid w:val="00ED274F"/>
    <w:rsid w:val="00EF17F0"/>
    <w:rsid w:val="00F02AAE"/>
    <w:rsid w:val="00F11EE9"/>
    <w:rsid w:val="00F36636"/>
    <w:rsid w:val="00F77DE4"/>
    <w:rsid w:val="00F855D0"/>
    <w:rsid w:val="00FA57F5"/>
    <w:rsid w:val="00FC4E6C"/>
    <w:rsid w:val="00FD638D"/>
    <w:rsid w:val="00FD6DC1"/>
    <w:rsid w:val="00FF014E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6C1411-113F-49C4-B910-D0CBE370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10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B2610"/>
    <w:pPr>
      <w:widowControl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EB261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B261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EB26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B261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EB2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B261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32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32E2"/>
    <w:rPr>
      <w:rFonts w:ascii="Tahoma" w:hAnsi="Tahoma" w:cs="Tahoma"/>
      <w:sz w:val="16"/>
      <w:szCs w:val="16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212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1207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Основной текст_"/>
    <w:basedOn w:val="a0"/>
    <w:link w:val="10"/>
    <w:locked/>
    <w:rsid w:val="00FC4E6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b"/>
    <w:rsid w:val="00FC4E6C"/>
    <w:pPr>
      <w:widowControl w:val="0"/>
      <w:shd w:val="clear" w:color="auto" w:fill="FFFFFF"/>
      <w:ind w:firstLine="400"/>
    </w:pPr>
    <w:rPr>
      <w:szCs w:val="28"/>
      <w:lang w:eastAsia="en-US"/>
    </w:rPr>
  </w:style>
  <w:style w:type="table" w:styleId="ac">
    <w:name w:val="Table Grid"/>
    <w:basedOn w:val="a1"/>
    <w:uiPriority w:val="39"/>
    <w:rsid w:val="007A09E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27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Юбейнан Олег Александрович</dc:creator>
  <cp:lastModifiedBy>Русских Ирина Юрьевна</cp:lastModifiedBy>
  <cp:revision>8</cp:revision>
  <cp:lastPrinted>2020-04-22T07:15:00Z</cp:lastPrinted>
  <dcterms:created xsi:type="dcterms:W3CDTF">2020-04-22T08:01:00Z</dcterms:created>
  <dcterms:modified xsi:type="dcterms:W3CDTF">2020-04-23T09:08:00Z</dcterms:modified>
</cp:coreProperties>
</file>